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3.png" ContentType="image/png"/>
  <Override PartName="/word/media/rId57.png" ContentType="image/png"/>
  <Override PartName="/word/media/rId34.png" ContentType="image/png"/>
  <Override PartName="/word/media/rId21.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2025-11-18</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understanding community responses to environmental changes across deep time events as a means to help understand current and future biodiversity changes</w:t>
      </w:r>
      <w:r>
        <w:t xml:space="preserve"> </w:t>
      </w:r>
      <w:r>
        <w:t xml:space="preserve">[1,2]</w:t>
      </w:r>
      <w:r>
        <w:t xml:space="preserve">. Species interactions and the resulting networks have gained popularity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where, in the absence of being able to observe interactions, we are dependent on the fossil record (and the inherent limitation it imposes) to infer interactions.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paleo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only focus on assessing the feasibility of interactions between species. Being able to construct only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aim to provide an overview of the different models that can be used to construct food webs using paleo data. Specifically we focus on identifying a suite of models that are appropriate for use with paleo data that can feasibly be constructed within the limitations that are imposed by fossil data while still spanning the larger network space. Additionally we use the data from</w:t>
      </w:r>
      <w:r>
        <w:t xml:space="preserve"> </w:t>
      </w:r>
      <w:r>
        <w:t xml:space="preserve">[4]</w:t>
      </w:r>
      <w:r>
        <w:t xml:space="preserve"> </w:t>
      </w:r>
      <w:r>
        <w:t xml:space="preserve">as a case study to understand how different models recover different networks, both in terms of structure as well as pairwise interactions and establish if there are consequences for using networks that are constructed using different models in terms of making inferences about the behaviour of the system by looking at how the model type influences what we infer to be the dominant driver of extinctions across a mass extinction event.</w:t>
      </w:r>
    </w:p>
    <w:bookmarkStart w:id="20" w:name="constructing-paleo-webs"/>
    <w:p>
      <w:pPr>
        <w:pStyle w:val="Heading1"/>
      </w:pPr>
      <w:r>
        <w:t xml:space="preserve">1. Constructing paleo webs</w:t>
      </w:r>
    </w:p>
    <w:bookmarkEnd w:id="20"/>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X62264afe1fbc73abe88026533d9b22a09e7dbcd"/>
    <w:p>
      <w:pPr>
        <w:pStyle w:val="Heading2"/>
      </w:pPr>
      <w:r>
        <w:t xml:space="preserve">2.1 Understanding the approaches to network construction</w:t>
      </w:r>
    </w:p>
    <w:p>
      <w:pPr>
        <w:pStyle w:val="FirstParagraph"/>
      </w:pPr>
      <w:r>
        <w:t xml:space="preserve">Broadly we can think about network construction as being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The former of which will construct</w:t>
      </w:r>
      <w:r>
        <w:t xml:space="preserve"> </w:t>
      </w:r>
      <w:r>
        <w:t xml:space="preserve">‘metawebs’</w:t>
      </w:r>
      <w:r>
        <w:t xml:space="preserve"> </w:t>
      </w:r>
      <w:r>
        <w:t xml:space="preserve">and the latter</w:t>
      </w:r>
      <w:r>
        <w:t xml:space="preserve"> </w:t>
      </w:r>
      <w:r>
        <w:t xml:space="preserve">‘realised networks’</w:t>
      </w:r>
      <w:r>
        <w:t xml:space="preserve"> </w:t>
      </w:r>
      <w:r>
        <w:t xml:space="preserve">[Strydom et al in prep]. Models that have specifically been developed in the paleo space tend to be mechanistic in nature in that they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Thus paleo models typically only construct metawebs, and there is the need for the intentional adoption of theoretical models if we want to realise the full potential of questions and information that we can glean from the fossil record. However, there is an argument that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meaning that theoretical models that have been developed and tested on contemporary food webs should still hold for paleo communities.</w:t>
      </w:r>
    </w:p>
    <w:tbl>
      <w:tblPr>
        <w:tblStyle w:val="Table"/>
        <w:tblW w:type="pct" w:w="5000"/>
        <w:tblLayout w:type="fixed"/>
        <w:tblLook w:firstRow="0" w:lastRow="0" w:firstColumn="0" w:lastColumn="0" w:noHBand="0" w:noVBand="0" w:val="0000"/>
      </w:tblPr>
      <w:tblGrid>
        <w:gridCol w:w="7920"/>
      </w:tblGrid>
      <w:tr>
        <w:tc>
          <w:tcPr/>
          <w:bookmarkStart w:id="24" w:name="fig-concept"/>
          <w:p>
            <w:pPr>
              <w:pStyle w:val="Compact"/>
              <w:jc w:val="center"/>
            </w:pPr>
            <w:r>
              <w:drawing>
                <wp:inline>
                  <wp:extent cx="5334000" cy="2995101"/>
                  <wp:effectExtent b="0" l="0" r="0" t="0"/>
                  <wp:docPr descr="" title="" id="22" name="Picture"/>
                  <a:graphic>
                    <a:graphicData uri="http://schemas.openxmlformats.org/drawingml/2006/picture">
                      <pic:pic>
                        <pic:nvPicPr>
                          <pic:cNvPr descr="figures/model_fams.png" id="23" name="Picture"/>
                          <pic:cNvPicPr>
                            <a:picLocks noChangeArrowheads="1" noChangeAspect="1"/>
                          </pic:cNvPicPr>
                        </pic:nvPicPr>
                        <pic:blipFill>
                          <a:blip r:embed="rId21"/>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4"/>
        </w:tc>
      </w:tr>
    </w:tbl>
    <w:p>
      <w:pPr>
        <w:pStyle w:val="BodyText"/>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fall within the limitations set by the fossil record.</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[19]</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[21]</w:t>
                  </w:r>
                </w:p>
              </w:tc>
            </w:tr>
          </w:tbl>
          <w:bookmarkEnd w:id="25"/>
          <w:p/>
        </w:tc>
      </w:tr>
    </w:tbl>
    <w:bookmarkEnd w:id="26"/>
    <w:bookmarkEnd w:id="27"/>
    <w:bookmarkStart w:id="56"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[22]</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 simplified so as to remove any disconnected species. In total 2 400 networks were constructed. When a quantitative measure of body size is needed (ADBM, body size ratio, and l-matrix) we drew a body mass for each species from a uniform distribution, with ranges being defined by the different size classes</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w:t>
      </w:r>
      <w:r>
        <w:t xml:space="preserve"> </w:t>
      </w:r>
      <w:r>
        <w:rPr>
          <w:i/>
          <w:iCs/>
        </w:rPr>
        <w:t xml:space="preserve">i.e.,</w:t>
      </w:r>
      <w:r>
        <w:t xml:space="preserve"> </w:t>
      </w:r>
      <w:r>
        <w:t xml:space="preserve">an ADBM and l-matrix network from the same replicate have the same bodysizes. For both the random and niche model the desired connectance was randomly selected between the range 0.07 - 0.15 for each replicate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42" w:name="X5f293602e0a41505444ff1a5239f00ce84a920d"/>
    <w:p>
      <w:pPr>
        <w:pStyle w:val="Heading2"/>
      </w:pPr>
      <w:r>
        <w:t xml:space="preserve">3.2 Models capture different network structure but in unexpected ways</w:t>
      </w:r>
    </w:p>
    <w:p>
      <w:pPr>
        <w:pStyle w:val="FirstParagraph"/>
      </w:pPr>
      <w:r>
        <w:t xml:space="preserve">Broadly when we talk about quantifying the structure of a network we are interesting in capturing some aspect of how the links are distributed between nodes, or alternatively about properties of the nodes. Structure is useful as it is gives information as to how the interactions between species are distributed within the community, informing us on</w:t>
      </w:r>
      <w:r>
        <w:t xml:space="preserve"> </w:t>
      </w:r>
      <w:r>
        <w:rPr>
          <w:i/>
          <w:iCs/>
        </w:rPr>
        <w:t xml:space="preserve">e.g.,</w:t>
      </w:r>
      <w:r>
        <w:t xml:space="preserve"> </w:t>
      </w:r>
      <w:r>
        <w:t xml:space="preserve">energy flows and fluxes [REF], propagation of stress [REF], and something about trophic levels [REF]. We are also able to glean information on interaction strategies between smaller interacting units in the bigger community in the form of motifs</w:t>
      </w:r>
      <w:r>
        <w:t xml:space="preserve"> </w:t>
      </w:r>
      <w:r>
        <w:t xml:space="preserve">[23,24]</w:t>
      </w:r>
      <w:r>
        <w:t xml:space="preserve">. Motifs allow us to identify</w:t>
      </w:r>
      <w:r>
        <w:t xml:space="preserve"> </w:t>
      </w:r>
      <w:r>
        <w:rPr>
          <w:i/>
          <w:iCs/>
        </w:rPr>
        <w:t xml:space="preserve">e.g.,</w:t>
      </w:r>
      <w:r>
        <w:t xml:space="preserve"> </w:t>
      </w:r>
      <w:r>
        <w:t xml:space="preserve">the prevalence of competition, as well as smaller chains within the network. Node-level properties look at the the number of links coming in to (prey) or out of (predators) a node and are informative of diet specialisation.</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for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have selected those outlined in</w:t>
      </w:r>
      <w:r>
        <w:t xml:space="preserve"> </w:t>
      </w:r>
      <w:hyperlink w:anchor="tbl-properties">
        <w:r>
          <w:rPr>
            <w:rStyle w:val="Hyperlink"/>
          </w:rPr>
          <w:t xml:space="preserve">Table 2</w:t>
        </w:r>
      </w:hyperlink>
      <w:r>
        <w:t xml:space="preserve"> </w:t>
      </w:r>
      <w:r>
        <w:t xml:space="preserve">as they span different scales within thr network and have been shown to be informative of different ecological processes.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w:t>
      </w:r>
      <w:r>
        <w:t xml:space="preserve"> </w:t>
      </w:r>
      <w:r>
        <w:t xml:space="preserve">[28]</w:t>
      </w:r>
      <w:r>
        <w:t xml:space="preserv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t xml:space="preserve">The multivariate effect of model was statistically significant, Pillai’s Trace = 3.89, F(45, 11 950) = 925.64, p &lt; .001, indicating systematic differences across multiple ecological or network properties simultaneously. Follow-up univariate ANOVAs revealed that model type had significant effects on all nine dependent variables</w:t>
      </w:r>
      <w:r>
        <w:t xml:space="preserve"> </w:t>
      </w:r>
      <w:hyperlink w:anchor="tbl-manova">
        <w:r>
          <w:rPr>
            <w:rStyle w:val="Hyperlink"/>
          </w:rPr>
          <w:t xml:space="preserve">Table 3</w:t>
        </w:r>
      </w:hyperlink>
      <w:r>
        <w:t xml:space="preserve">, show that the network structure differed markedly across the model types on every measured dimension. Model type accounts for the vast majority of variance in most network metrics (66%–92%), indicating profound differences in structure between models. The only exception is trophic level (η² = .19), which still shows a large effect but is much smaller relative to the other metrics.</w:t>
      </w:r>
    </w:p>
    <w:tbl>
      <w:tblPr>
        <w:tblStyle w:val="Table"/>
        <w:tblW w:type="pct" w:w="5000"/>
        <w:tblLayout w:type="fixed"/>
        <w:tblLook w:firstRow="0" w:lastRow="0" w:firstColumn="0" w:lastColumn="0" w:noHBand="0" w:noVBand="0" w:val="0000"/>
      </w:tblPr>
      <w:tblGrid>
        <w:gridCol w:w="7920"/>
      </w:tblGrid>
      <w:tr>
        <w:tc>
          <w:tcPr/>
          <w:bookmarkStart w:id="33" w:name="tbl-manova"/>
          <w:p>
            <w:pPr>
              <w:jc w:val="center"/>
            </w:pPr>
            <w:pPr>
              <w:jc w:val="left"/>
              <w:spacing w:before="200"/>
              <w:pStyle w:val="ImageCaption"/>
            </w:pPr>
            <w:r>
              <w:t xml:space="preserve">Table 3: Manova/univariate ANOVA results.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Metric</w:t>
                  </w:r>
                </w:p>
              </w:tc>
              <w:tc>
                <w:tcPr/>
                <w:p>
                  <w:pPr>
                    <w:pStyle w:val="Compact"/>
                    <w:jc w:val="center"/>
                  </w:pPr>
                  <w:r>
                    <w:t xml:space="preserve">F(df = 5, 2394)</w:t>
                  </w:r>
                </w:p>
              </w:tc>
              <w:tc>
                <w:tcPr/>
                <w:p>
                  <w:pPr>
                    <w:pStyle w:val="Compact"/>
                    <w:jc w:val="center"/>
                  </w:pPr>
                  <w:r>
                    <w:t xml:space="preserve">df</w:t>
                  </w:r>
                </w:p>
              </w:tc>
              <w:tc>
                <w:tcPr/>
                <w:p>
                  <w:pPr>
                    <w:pStyle w:val="Compact"/>
                    <w:jc w:val="center"/>
                  </w:pPr>
                  <w:r>
                    <w:t xml:space="preserve">partial η²</w:t>
                  </w:r>
                </w:p>
              </w:tc>
            </w:tr>
            <w:tr>
              <w:tc>
                <w:tcPr/>
                <w:p>
                  <w:pPr>
                    <w:pStyle w:val="Compact"/>
                    <w:jc w:val="center"/>
                  </w:pPr>
                  <w:r>
                    <w:t xml:space="preserve">Connectance</w:t>
                  </w:r>
                </w:p>
              </w:tc>
              <w:tc>
                <w:tcPr/>
                <w:p>
                  <w:pPr>
                    <w:pStyle w:val="Compact"/>
                    <w:jc w:val="center"/>
                  </w:pPr>
                  <w:r>
                    <w:t xml:space="preserve">2717.8</w:t>
                  </w:r>
                </w:p>
              </w:tc>
              <w:tc>
                <w:tcPr/>
                <w:p>
                  <w:pPr>
                    <w:pStyle w:val="Compact"/>
                    <w:jc w:val="center"/>
                  </w:pPr>
                  <w:r>
                    <w:t xml:space="preserve">5</w:t>
                  </w:r>
                </w:p>
              </w:tc>
              <w:tc>
                <w:tcPr/>
                <w:p>
                  <w:pPr>
                    <w:pStyle w:val="Compact"/>
                    <w:jc w:val="center"/>
                  </w:pPr>
                  <w:r>
                    <w:t xml:space="preserve">0.85</w:t>
                  </w:r>
                </w:p>
              </w:tc>
            </w:tr>
            <w:tr>
              <w:tc>
                <w:tcPr/>
                <w:p>
                  <w:pPr>
                    <w:pStyle w:val="Compact"/>
                    <w:jc w:val="center"/>
                  </w:pPr>
                  <w:r>
                    <w:t xml:space="preserve">Complexity</w:t>
                  </w:r>
                </w:p>
              </w:tc>
              <w:tc>
                <w:tcPr/>
                <w:p>
                  <w:pPr>
                    <w:pStyle w:val="Compact"/>
                    <w:jc w:val="center"/>
                  </w:pPr>
                  <w:r>
                    <w:t xml:space="preserve">2356.6</w:t>
                  </w:r>
                </w:p>
              </w:tc>
              <w:tc>
                <w:tcPr/>
                <w:p>
                  <w:pPr>
                    <w:pStyle w:val="Compact"/>
                    <w:jc w:val="center"/>
                  </w:pPr>
                  <w:r>
                    <w:t xml:space="preserve">5</w:t>
                  </w:r>
                </w:p>
              </w:tc>
              <w:tc>
                <w:tcPr/>
                <w:p>
                  <w:pPr>
                    <w:pStyle w:val="Compact"/>
                    <w:jc w:val="center"/>
                  </w:pPr>
                  <w:r>
                    <w:t xml:space="preserve">0.83</w:t>
                  </w:r>
                </w:p>
              </w:tc>
            </w:tr>
            <w:tr>
              <w:tc>
                <w:tcPr/>
                <w:p>
                  <w:pPr>
                    <w:pStyle w:val="Compact"/>
                    <w:jc w:val="center"/>
                  </w:pPr>
                  <w:r>
                    <w:t xml:space="preserve">Max trophic level</w:t>
                  </w:r>
                </w:p>
              </w:tc>
              <w:tc>
                <w:tcPr/>
                <w:p>
                  <w:pPr>
                    <w:pStyle w:val="Compact"/>
                    <w:jc w:val="center"/>
                  </w:pPr>
                  <w:r>
                    <w:t xml:space="preserve">108.86</w:t>
                  </w:r>
                </w:p>
              </w:tc>
              <w:tc>
                <w:tcPr/>
                <w:p>
                  <w:pPr>
                    <w:pStyle w:val="Compact"/>
                    <w:jc w:val="center"/>
                  </w:pPr>
                  <w:r>
                    <w:t xml:space="preserve">5</w:t>
                  </w:r>
                </w:p>
              </w:tc>
              <w:tc>
                <w:tcPr/>
                <w:p>
                  <w:pPr>
                    <w:pStyle w:val="Compact"/>
                    <w:jc w:val="center"/>
                  </w:pPr>
                  <w:r>
                    <w:t xml:space="preserve">0.19</w:t>
                  </w:r>
                </w:p>
              </w:tc>
            </w:tr>
            <w:tr>
              <w:tc>
                <w:tcPr/>
                <w:p>
                  <w:pPr>
                    <w:pStyle w:val="Compact"/>
                    <w:jc w:val="center"/>
                  </w:pPr>
                  <w:r>
                    <w:t xml:space="preserve">Generality</w:t>
                  </w:r>
                </w:p>
              </w:tc>
              <w:tc>
                <w:tcPr/>
                <w:p>
                  <w:pPr>
                    <w:pStyle w:val="Compact"/>
                    <w:jc w:val="center"/>
                  </w:pPr>
                  <w:r>
                    <w:t xml:space="preserve">5646</w:t>
                  </w:r>
                </w:p>
              </w:tc>
              <w:tc>
                <w:tcPr/>
                <w:p>
                  <w:pPr>
                    <w:pStyle w:val="Compact"/>
                    <w:jc w:val="center"/>
                  </w:pPr>
                  <w:r>
                    <w:t xml:space="preserve">5</w:t>
                  </w:r>
                </w:p>
              </w:tc>
              <w:tc>
                <w:tcPr/>
                <w:p>
                  <w:pPr>
                    <w:pStyle w:val="Compact"/>
                    <w:jc w:val="center"/>
                  </w:pPr>
                  <w:r>
                    <w:t xml:space="preserve">0.92</w:t>
                  </w:r>
                </w:p>
              </w:tc>
            </w:tr>
            <w:tr>
              <w:tc>
                <w:tcPr/>
                <w:p>
                  <w:pPr>
                    <w:pStyle w:val="Compact"/>
                    <w:jc w:val="center"/>
                  </w:pPr>
                  <w:r>
                    <w:t xml:space="preserve">Vulnerability</w:t>
                  </w:r>
                </w:p>
              </w:tc>
              <w:tc>
                <w:tcPr/>
                <w:p>
                  <w:pPr>
                    <w:pStyle w:val="Compact"/>
                    <w:jc w:val="center"/>
                  </w:pPr>
                  <w:r>
                    <w:t xml:space="preserve">3266.9</w:t>
                  </w:r>
                </w:p>
              </w:tc>
              <w:tc>
                <w:tcPr/>
                <w:p>
                  <w:pPr>
                    <w:pStyle w:val="Compact"/>
                    <w:jc w:val="center"/>
                  </w:pPr>
                  <w:r>
                    <w:t xml:space="preserve">5</w:t>
                  </w:r>
                </w:p>
              </w:tc>
              <w:tc>
                <w:tcPr/>
                <w:p>
                  <w:pPr>
                    <w:pStyle w:val="Compact"/>
                    <w:jc w:val="center"/>
                  </w:pPr>
                  <w:r>
                    <w:t xml:space="preserve">0.87</w:t>
                  </w:r>
                </w:p>
              </w:tc>
            </w:tr>
            <w:tr>
              <w:tc>
                <w:tcPr/>
                <w:p>
                  <w:pPr>
                    <w:pStyle w:val="Compact"/>
                    <w:jc w:val="center"/>
                  </w:pPr>
                  <w:r>
                    <w:t xml:space="preserve">S1</w:t>
                  </w:r>
                </w:p>
              </w:tc>
              <w:tc>
                <w:tcPr/>
                <w:p>
                  <w:pPr>
                    <w:pStyle w:val="Compact"/>
                    <w:jc w:val="center"/>
                  </w:pPr>
                  <w:r>
                    <w:t xml:space="preserve">1968.5</w:t>
                  </w:r>
                </w:p>
              </w:tc>
              <w:tc>
                <w:tcPr/>
                <w:p>
                  <w:pPr>
                    <w:pStyle w:val="Compact"/>
                    <w:jc w:val="center"/>
                  </w:pPr>
                  <w:r>
                    <w:t xml:space="preserve">5</w:t>
                  </w:r>
                </w:p>
              </w:tc>
              <w:tc>
                <w:tcPr/>
                <w:p>
                  <w:pPr>
                    <w:pStyle w:val="Compact"/>
                    <w:jc w:val="center"/>
                  </w:pPr>
                  <w:r>
                    <w:t xml:space="preserve">0.80</w:t>
                  </w:r>
                </w:p>
              </w:tc>
            </w:tr>
            <w:tr>
              <w:tc>
                <w:tcPr/>
                <w:p>
                  <w:pPr>
                    <w:pStyle w:val="Compact"/>
                    <w:jc w:val="center"/>
                  </w:pPr>
                  <w:r>
                    <w:t xml:space="preserve">S2</w:t>
                  </w:r>
                </w:p>
              </w:tc>
              <w:tc>
                <w:tcPr/>
                <w:p>
                  <w:pPr>
                    <w:pStyle w:val="Compact"/>
                    <w:jc w:val="center"/>
                  </w:pPr>
                  <w:r>
                    <w:t xml:space="preserve">1527.5</w:t>
                  </w:r>
                </w:p>
              </w:tc>
              <w:tc>
                <w:tcPr/>
                <w:p>
                  <w:pPr>
                    <w:pStyle w:val="Compact"/>
                    <w:jc w:val="center"/>
                  </w:pPr>
                  <w:r>
                    <w:t xml:space="preserve">5</w:t>
                  </w:r>
                </w:p>
              </w:tc>
              <w:tc>
                <w:tcPr/>
                <w:p>
                  <w:pPr>
                    <w:pStyle w:val="Compact"/>
                    <w:jc w:val="center"/>
                  </w:pPr>
                  <w:r>
                    <w:t xml:space="preserve">0.76</w:t>
                  </w:r>
                </w:p>
              </w:tc>
            </w:tr>
            <w:tr>
              <w:tc>
                <w:tcPr/>
                <w:p>
                  <w:pPr>
                    <w:pStyle w:val="Compact"/>
                    <w:jc w:val="center"/>
                  </w:pPr>
                  <w:r>
                    <w:t xml:space="preserve">S4</w:t>
                  </w:r>
                </w:p>
              </w:tc>
              <w:tc>
                <w:tcPr/>
                <w:p>
                  <w:pPr>
                    <w:pStyle w:val="Compact"/>
                    <w:jc w:val="center"/>
                  </w:pPr>
                  <w:r>
                    <w:t xml:space="preserve">940.79</w:t>
                  </w:r>
                </w:p>
              </w:tc>
              <w:tc>
                <w:tcPr/>
                <w:p>
                  <w:pPr>
                    <w:pStyle w:val="Compact"/>
                    <w:jc w:val="center"/>
                  </w:pPr>
                  <w:r>
                    <w:t xml:space="preserve">5</w:t>
                  </w:r>
                </w:p>
              </w:tc>
              <w:tc>
                <w:tcPr/>
                <w:p>
                  <w:pPr>
                    <w:pStyle w:val="Compact"/>
                    <w:jc w:val="center"/>
                  </w:pPr>
                  <w:r>
                    <w:t xml:space="preserve">0.66</w:t>
                  </w:r>
                </w:p>
              </w:tc>
            </w:tr>
            <w:tr>
              <w:tc>
                <w:tcPr/>
                <w:p>
                  <w:pPr>
                    <w:pStyle w:val="Compact"/>
                    <w:jc w:val="center"/>
                  </w:pPr>
                  <w:r>
                    <w:t xml:space="preserve">S5</w:t>
                  </w:r>
                </w:p>
              </w:tc>
              <w:tc>
                <w:tcPr/>
                <w:p>
                  <w:pPr>
                    <w:pStyle w:val="Compact"/>
                    <w:jc w:val="center"/>
                  </w:pPr>
                  <w:r>
                    <w:t xml:space="preserve">1919.4</w:t>
                  </w:r>
                </w:p>
              </w:tc>
              <w:tc>
                <w:tcPr/>
                <w:p>
                  <w:pPr>
                    <w:pStyle w:val="Compact"/>
                    <w:jc w:val="center"/>
                  </w:pPr>
                  <w:r>
                    <w:t xml:space="preserve">5</w:t>
                  </w:r>
                </w:p>
              </w:tc>
              <w:tc>
                <w:tcPr/>
                <w:p>
                  <w:pPr>
                    <w:pStyle w:val="Compact"/>
                    <w:jc w:val="center"/>
                  </w:pPr>
                  <w:r>
                    <w:t xml:space="preserve">0.80</w:t>
                  </w:r>
                </w:p>
              </w:tc>
            </w:tr>
          </w:tbl>
          <w:bookmarkEnd w:id="33"/>
          <w:p/>
        </w:tc>
      </w:tr>
    </w:tbl>
    <w:p>
      <w:pPr>
        <w:pStyle w:val="BodyText"/>
      </w:pPr>
      <w:r>
        <w:t xml:space="preserve">Post-hoc pairwise comparisons using Tukey-adjusted estimated marginal means further clarified the differences among models. The PFIM differed significantly from all other models (all p &lt; 0.001). The niche and random models are similar to each other, and the adbm and lmatrix were also similar to each other</w:t>
      </w:r>
      <w:r>
        <w:t xml:space="preserve"> </w:t>
      </w:r>
      <w:hyperlink w:anchor="fig-marginal">
        <w:r>
          <w:rPr>
            <w:rStyle w:val="Hyperlink"/>
          </w:rPr>
          <w:t xml:space="preserve">Figure 2</w:t>
        </w:r>
      </w:hyperlink>
      <w:r>
        <w:t xml:space="preserve">. This although there are clear structural difference between the models as a whole we still broadly see the grouping between the theoretical models (ADBM, l-matrix), structural models (Niche and Random), and a metaweb (PFIM). Although the bodymass ratio model deviates from this neat grouping it is perhaps not as surprising since this simplified version of the bodymass ratio model is strongly rooted in the niche-based processes that are also assumed in the Niche model and so it having some overlap with the other structural models is not that surprising.</w:t>
      </w:r>
    </w:p>
    <w:tbl>
      <w:tblPr>
        <w:tblStyle w:val="Table"/>
        <w:tblW w:type="pct" w:w="5000"/>
        <w:tblLayout w:type="fixed"/>
        <w:tblLook w:firstRow="0" w:lastRow="0" w:firstColumn="0" w:lastColumn="0" w:noHBand="0" w:noVBand="0" w:val="0000"/>
      </w:tblPr>
      <w:tblGrid>
        <w:gridCol w:w="7920"/>
      </w:tblGrid>
      <w:tr>
        <w:tc>
          <w:tcPr/>
          <w:bookmarkStart w:id="37" w:name="fig-marginal"/>
          <w:p>
            <w:pPr>
              <w:pStyle w:val="Compact"/>
              <w:jc w:val="center"/>
            </w:pPr>
            <w:r>
              <w:drawing>
                <wp:inline>
                  <wp:extent cx="5334000" cy="4267199"/>
                  <wp:effectExtent b="0" l="0" r="0" t="0"/>
                  <wp:docPr descr="" title="" id="35" name="Picture"/>
                  <a:graphic>
                    <a:graphicData uri="http://schemas.openxmlformats.org/drawingml/2006/picture">
                      <pic:pic>
                        <pic:nvPicPr>
                          <pic:cNvPr descr="figures/marginal_mean.png" id="36" name="Picture"/>
                          <pic:cNvPicPr>
                            <a:picLocks noChangeArrowheads="1" noChangeAspect="1"/>
                          </pic:cNvPicPr>
                        </pic:nvPicPr>
                        <pic:blipFill>
                          <a:blip r:embed="rId34"/>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Estimated marginal means (EMMs) of ecological network metrics across six model types with 95% confidence intervals. Bars represent the predicted values for each model, and error bars indicate the 95% confidence limits. Letters above each bar denote Tukey-adjusted pairwise significance: models sharing the same letter are not significantly different, while models with different letters are significantly different (p &lt; 0.05). The plot reveals three tiers of model performance, with pfim consistently higher, log ratio, niche, and random at intermediate levels, and adbm and lmatrix lower, consistent with the MANOVA and post-hoc analyses.</w:t>
            </w:r>
          </w:p>
          <w:bookmarkEnd w:id="37"/>
        </w:tc>
      </w:tr>
    </w:tbl>
    <w:p>
      <w:pPr>
        <w:pStyle w:val="BodyText"/>
      </w:pPr>
      <w:r>
        <w:t xml:space="preserve">From the LDA the first two discriminant functions explained 72% and 18% of the variance, respectively. Wilks’ λ indicated that the discriminant functions significantly differentiated among models (λ = 0.12, χ² = 1024, p &lt; 0.001). The LDA plot</w:t>
      </w:r>
      <w:r>
        <w:t xml:space="preserve"> </w:t>
      </w:r>
      <w:hyperlink w:anchor="fig-structure">
        <w:r>
          <w:rPr>
            <w:rStyle w:val="Hyperlink"/>
          </w:rPr>
          <w:t xml:space="preserve">Figure 3</w:t>
        </w:r>
      </w:hyperlink>
      <w:r>
        <w:t xml:space="preserve"> </w:t>
      </w:r>
      <w:r>
        <w:t xml:space="preserve">shows clear separation of the pfim model from the others along LD1, with adbm and lmatrix clustering closely together, and niche and random occupying intermediate positions. Classification accuracy was 85%, confirming that the combination of dependent variables reliably distinguishes model types.</w:t>
      </w:r>
    </w:p>
    <w:tbl>
      <w:tblPr>
        <w:tblStyle w:val="Table"/>
        <w:tblW w:type="pct" w:w="5000"/>
        <w:tblLayout w:type="fixed"/>
        <w:tblLook w:firstRow="0" w:lastRow="0" w:firstColumn="0" w:lastColumn="0" w:noHBand="0" w:noVBand="0" w:val="0000"/>
      </w:tblPr>
      <w:tblGrid>
        <w:gridCol w:w="7920"/>
      </w:tblGrid>
      <w:tr>
        <w:tc>
          <w:tcPr/>
          <w:bookmarkStart w:id="41" w:name="fig-structure"/>
          <w:p>
            <w:pPr>
              <w:pStyle w:val="Compact"/>
              <w:jc w:val="center"/>
            </w:pPr>
            <w:r>
              <w:drawing>
                <wp:inline>
                  <wp:extent cx="5334000" cy="4267199"/>
                  <wp:effectExtent b="0" l="0" r="0" t="0"/>
                  <wp:docPr descr="" title="" id="39" name="Picture"/>
                  <a:graphic>
                    <a:graphicData uri="http://schemas.openxmlformats.org/drawingml/2006/picture">
                      <pic:pic>
                        <pic:nvPicPr>
                          <pic:cNvPr descr="figures/MANOVA_lda.png" id="40" name="Picture"/>
                          <pic:cNvPicPr>
                            <a:picLocks noChangeArrowheads="1" noChangeAspect="1"/>
                          </pic:cNvPicPr>
                        </pic:nvPicPr>
                        <pic:blipFill>
                          <a:blip r:embed="rId38"/>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3: Linear discriminant analysis (LDA) of ecological network metrics for six model types. The first two discriminant functions (LD1 and LD2) explain 72% and 18% of the variance, respectively. Each point represents a replicate, and ellipses indicate 95% confidence regions for each model. The PFIM model is strongly separated along LD1, reflecting the highest values of network metrics, while adbm and lmatrix cluster closely together, indicating similar, lower metric values. The niche and random models occupy intermediate positions. Classification accuracy of the LDA was 85%, demonstrating that the combination of dependent variables effectively discriminates among model types.</w:t>
            </w:r>
          </w:p>
          <w:bookmarkEnd w:id="41"/>
        </w:tc>
      </w:tr>
    </w:tbl>
    <w:p>
      <w:pPr>
        <w:pStyle w:val="BodyText"/>
      </w:pPr>
      <w:r>
        <w:t xml:space="preserve">The implications of the above results is that it is clear that different models will recover different structures - across all structural measures and highlight how model selection has the potential to strongly shape ecological inferences. Using a model that overestimates connectivity could exaggerate our inferences about redundancy or disturbance risk, while overly sparse models could underestimate network complexity and functional links. Therefore, the choice of model should align with the specific ecological question</w:t>
      </w:r>
      <w:r>
        <w:t xml:space="preserve"> </w:t>
      </w:r>
      <w:r>
        <w:rPr>
          <w:i/>
          <w:iCs/>
        </w:rPr>
        <w:t xml:space="preserve">e.g.,</w:t>
      </w:r>
      <w:r>
        <w:t xml:space="preserve"> </w:t>
      </w:r>
      <w:r>
        <w:t xml:space="preserve">in interest in exploring</w:t>
      </w:r>
      <w:r>
        <w:t xml:space="preserve"> </w:t>
      </w:r>
      <w:r>
        <w:rPr>
          <w:i/>
          <w:iCs/>
        </w:rPr>
        <w:t xml:space="preserve">potential</w:t>
      </w:r>
      <w:r>
        <w:t xml:space="preserve"> </w:t>
      </w:r>
      <w:r>
        <w:t xml:space="preserve">redundancy, robustness, versus trying to understand</w:t>
      </w:r>
      <w:r>
        <w:t xml:space="preserve"> </w:t>
      </w:r>
      <w:r>
        <w:rPr>
          <w:i/>
          <w:iCs/>
        </w:rPr>
        <w:t xml:space="preserve">realistic</w:t>
      </w:r>
      <w:r>
        <w:t xml:space="preserve"> </w:t>
      </w:r>
      <w:r>
        <w:t xml:space="preserve">energy flow pathways. Ideally we should couple our analyses with sensitivity analyses to assess how conclusions depend on model assumptions. It also means that we cannot compare inferences made using different models but and any generalisations about observed patterns should be be standardised across network model</w:t>
      </w:r>
      <w:r>
        <w:t xml:space="preserve"> </w:t>
      </w:r>
      <w:r>
        <w:rPr>
          <w:i/>
          <w:iCs/>
        </w:rPr>
        <w:t xml:space="preserve">type</w:t>
      </w:r>
      <w:r>
        <w:t xml:space="preserve"> </w:t>
      </w:r>
      <w:r>
        <w:t xml:space="preserve">at minium. That is two say it may not be completely illogical to make comparisons between two metawebs, however it would be unwise to compare a metaweb to a thoeretical network.</w:t>
      </w:r>
    </w:p>
    <w:p>
      <w:pPr>
        <w:pStyle w:val="BlockText"/>
      </w:pPr>
      <w:r>
        <w:t xml:space="preserve">These structural differences have consequences for predicting species persistence, stability, and ecosystem functioning. For example, metrics like generality and vulnerability influence top-down and bottom-up control, affecting how energy and biomass flow through trophic levels (Dunne et al., 2002). Similarly, connectance and trophic coherence influence stability and resilience; more coherent networks tend to resist perturbations, whereas very dense, highly connected webs may either buffer or amplify disturbances depending on interaction strengths (Johnson et al., 2014).</w:t>
      </w:r>
    </w:p>
    <w:bookmarkEnd w:id="42"/>
    <w:bookmarkStart w:id="47"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 the interaction turnover both within and between the different models</w:t>
      </w:r>
      <w:r>
        <w:t xml:space="preserve"> </w:t>
      </w:r>
      <w:r>
        <w:t xml:space="preserve">[29]</w:t>
      </w:r>
      <w:r>
        <w:t xml:space="preserve">.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p>
      <w:pPr>
        <w:pStyle w:val="BodyText"/>
      </w:pPr>
      <w:r>
        <w:t xml:space="preserve">Across the four network models, turnover in species interactions varied substantially, revealing clear differences in how each model appraoches determining the presence of links between species pairs</w:t>
      </w:r>
      <w:r>
        <w:t xml:space="preserve"> </w:t>
      </w:r>
      <w:hyperlink w:anchor="fig-beta_div">
        <w:r>
          <w:rPr>
            <w:rStyle w:val="Hyperlink"/>
          </w:rPr>
          <w:t xml:space="preserve">Figure 4</w:t>
        </w:r>
      </w:hyperlink>
      <w:r>
        <w:t xml:space="preserve">. The log-ratio model consistently showed high turnover relative to all other approaches, indicating that it produces interaction pairs that are the most distinct from other models. In contrast the ADBM and l-matrix exhibited the lowest turnover and suggests strong agreement between how pairwise interactions are determined. This is unsurprising given the underlying inference mechanisms of the models. The PFIM displays an intermediate turnover, aligning most closely with log-ratio and least with ADBM and l-matrix. Although this result is unsurprising as the mechanisms that determine interactions in ADBM and l-matrix (a single trait (bodysize) + paramterisiation of links by ecological theory) is very different from the PFIM model that makes assumptions on a trait-based, mechanistic hierarchy. Taken together, these results demonstrate that model choice strongly influences inferred pairwise interactions.</w:t>
      </w:r>
    </w:p>
    <w:tbl>
      <w:tblPr>
        <w:tblStyle w:val="Table"/>
        <w:tblW w:type="pct" w:w="5000"/>
        <w:tblLayout w:type="fixed"/>
        <w:tblLook w:firstRow="0" w:lastRow="0" w:firstColumn="0" w:lastColumn="0" w:noHBand="0" w:noVBand="0" w:val="0000"/>
      </w:tblPr>
      <w:tblGrid>
        <w:gridCol w:w="7920"/>
      </w:tblGrid>
      <w:tr>
        <w:tc>
          <w:tcPr/>
          <w:bookmarkStart w:id="46" w:name="fig-beta_div"/>
          <w:p>
            <w:pPr>
              <w:pStyle w:val="Compact"/>
              <w:jc w:val="center"/>
            </w:pPr>
            <w:r>
              <w:drawing>
                <wp:inline>
                  <wp:extent cx="5334000" cy="4667250"/>
                  <wp:effectExtent b="0" l="0" r="0" t="0"/>
                  <wp:docPr descr="" title="" id="44" name="Picture"/>
                  <a:graphic>
                    <a:graphicData uri="http://schemas.openxmlformats.org/drawingml/2006/picture">
                      <pic:pic>
                        <pic:nvPicPr>
                          <pic:cNvPr descr="figures/beta_div.png" id="45" name="Picture"/>
                          <pic:cNvPicPr>
                            <a:picLocks noChangeArrowheads="1" noChangeAspect="1"/>
                          </pic:cNvPicPr>
                        </pic:nvPicPr>
                        <pic:blipFill>
                          <a:blip r:embed="rId43"/>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Pairwise beta turnover in species interactions among four ecological network models (adbm, lmatrix, log-ratio, and pfim). Each cell represents the mean turnover value between a pair of models, with warmer colors indicating greater dissimilarity in inferred interactions. The diagonal is omitted. High turnover values (yellow) indicate strong disagreement in network structure between models, whereas lower values (blue–purple) indicate greater similarity.</w:t>
            </w:r>
          </w:p>
          <w:bookmarkEnd w:id="46"/>
        </w:tc>
      </w:tr>
    </w:tbl>
    <w:p>
      <w:pPr>
        <w:pStyle w:val="BodyText"/>
      </w:pPr>
      <w:r>
        <w:t xml:space="preserve">In terms of how model choice will influence our inference - this will have the biggest consequence when thinking about diet related questions. In</w:t>
      </w:r>
      <w:r>
        <w:t xml:space="preserve"> </w:t>
      </w:r>
      <w:hyperlink w:anchor="fig-beta_div">
        <w:r>
          <w:rPr>
            <w:rStyle w:val="Hyperlink"/>
          </w:rPr>
          <w:t xml:space="preserve">Figure 4</w:t>
        </w:r>
      </w:hyperlink>
      <w:r>
        <w:t xml:space="preserve"> </w:t>
      </w:r>
      <w:r>
        <w:t xml:space="preserve">we can see that the ADBM and PFIM are recovering (almost) totally different pairwise links and so will have very different answers when we want to start interrogating the specific interactions that may established by a specific species within the network. Pragmatically when if comes to deciding which model is the most appropriate choice when ir comes to diet-based questions it makes sense to contextualise this in the feasible vs realised interaction spectrum.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w:t>
      </w:r>
    </w:p>
    <w:bookmarkEnd w:id="47"/>
    <w:bookmarkStart w:id="55" w:name="model-choice-changes-the-narrative"/>
    <w:p>
      <w:pPr>
        <w:pStyle w:val="Heading2"/>
      </w:pPr>
      <w:r>
        <w:t xml:space="preserve">3.4 Model choice changes the narrative</w:t>
      </w:r>
    </w:p>
    <w:p>
      <w:pPr>
        <w:pStyle w:val="FirstParagraph"/>
      </w:pPr>
      <w:r>
        <w:t xml:space="preserve">As shown in both</w:t>
      </w:r>
      <w:r>
        <w:t xml:space="preserve"> </w:t>
      </w:r>
      <w:hyperlink w:anchor="fig-structure">
        <w:r>
          <w:rPr>
            <w:rStyle w:val="Hyperlink"/>
          </w:rPr>
          <w:t xml:space="preserve">Figure 3</w:t>
        </w:r>
      </w:hyperlink>
      <w:r>
        <w:t xml:space="preserve"> </w:t>
      </w:r>
      <w:r>
        <w:t xml:space="preserve">and</w:t>
      </w:r>
      <w:r>
        <w:t xml:space="preserve"> </w:t>
      </w:r>
      <w:hyperlink w:anchor="fig-beta_div">
        <w:r>
          <w:rPr>
            <w:rStyle w:val="Hyperlink"/>
          </w:rPr>
          <w:t xml:space="preserve">Figure 4</w:t>
        </w:r>
      </w:hyperlink>
      <w:r>
        <w:t xml:space="preserve"> </w:t>
      </w:r>
      <w:r>
        <w:t xml:space="preserve">different models do indeed create networks that look different despite being created using the same species pool (or at least richness in the case of the Niche and Random models). As we have alluded to multiple times these underlying difference could have consequences on inferences that we make about the behaviour of the system. Here we will look at how model choice alters the inference we make about the underlying mechanisms that were driving extinctions in the Toarcian extinction event. Here we again we use we followed the approach outlined in</w:t>
      </w:r>
      <w:r>
        <w:t xml:space="preserve"> </w:t>
      </w:r>
      <w:r>
        <w:t xml:space="preserve">[4]</w:t>
      </w:r>
      <w:r>
        <w:t xml:space="preserve"> </w:t>
      </w:r>
      <w:r>
        <w:t xml:space="preserve">when simulating extinctions as well as assessing which extinction mechanism results in a simulated network most closely match the real post extinction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w:t>
      </w:r>
      <w:r>
        <w:t xml:space="preserve"> </w:t>
      </w:r>
      <w:r>
        <w:rPr>
          <w:b/>
          <w:bCs/>
        </w:rPr>
        <w:t xml:space="preserve">TODO</w:t>
      </w:r>
      <w:r>
        <w:t xml:space="preserve"> </w:t>
      </w:r>
      <w:r>
        <w:t xml:space="preserve">The whole shebang about the different extinction simulation scenarios?</w:t>
      </w:r>
    </w:p>
    <w:p>
      <w:pPr>
        <w:pStyle w:val="BodyText"/>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[31]</w:t>
      </w:r>
    </w:p>
    <w:tbl>
      <w:tblPr>
        <w:tblStyle w:val="Table"/>
        <w:tblW w:type="pct" w:w="5000"/>
        <w:tblLayout w:type="fixed"/>
        <w:tblLook w:firstRow="0" w:lastRow="0" w:firstColumn="0" w:lastColumn="0" w:noHBand="0" w:noVBand="0" w:val="0000"/>
      </w:tblPr>
      <w:tblGrid>
        <w:gridCol w:w="7920"/>
      </w:tblGrid>
      <w:tr>
        <w:tc>
          <w:tcPr/>
          <w:bookmarkStart w:id="51" w:name="fig-dunhill"/>
          <w:p>
            <w:pPr>
              <w:pStyle w:val="Compact"/>
              <w:jc w:val="center"/>
            </w:pPr>
            <w:r>
              <w:drawing>
                <wp:inline>
                  <wp:extent cx="5334000" cy="6934200"/>
                  <wp:effectExtent b="0" l="0" r="0" t="0"/>
                  <wp:docPr descr="" title="" id="49" name="Picture"/>
                  <a:graphic>
                    <a:graphicData uri="http://schemas.openxmlformats.org/drawingml/2006/picture">
                      <pic:pic>
                        <pic:nvPicPr>
                          <pic:cNvPr descr="figures/time_structure.png" id="50" name="Picture"/>
                          <pic:cNvPicPr>
                            <a:picLocks noChangeArrowheads="1" noChangeAspect="1"/>
                          </pic:cNvPicPr>
                        </pic:nvPicPr>
                        <pic:blipFill>
                          <a:blip r:embed="rId48"/>
                          <a:stretch>
                            <a:fillRect/>
                          </a:stretch>
                        </pic:blipFill>
                        <pic:spPr bwMode="auto">
                          <a:xfrm>
                            <a:off x="0" y="0"/>
                            <a:ext cx="5334000" cy="6934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stuff… Recreation of the figure from Dunhill 2024. I think it makes sense to split and divide into the below sections (depending on potential figure limitations of target journal)</w:t>
            </w:r>
          </w:p>
          <w:bookmarkEnd w:id="51"/>
        </w:tc>
      </w:tr>
    </w:tbl>
    <w:bookmarkStart w:id="52" w:name="trends-over-time"/>
    <w:p>
      <w:pPr>
        <w:pStyle w:val="Heading3"/>
      </w:pPr>
      <w:r>
        <w:t xml:space="preserve">3.4.1 Trends over time</w:t>
      </w:r>
    </w:p>
    <w:p>
      <w:pPr>
        <w:pStyle w:val="FirstParagraph"/>
      </w:pPr>
      <w:r>
        <w:t xml:space="preserve">Generalized additive mixed modelling showed strong differences in both the magnitude and temporal dynamics of network structure across models. Model results indicated that both parametric and smooth terms significantly influenced network metrics across models, with some exceptions. For connectance, all parametric coefficients were negative except the intercept, and most smooth terms showed highly significant effects (p &lt; 0.05), except for the Niche (p = 0.48) and Random (p = 0.016) models. Complexity and generality similarly exhibited significant parametric and smooth effects, whereas for vulnerability, the smooth term the Random model was non-significant (p = 0.73). Trophic level effects varied among models: modellmatrix had a non-significant parametric effect (p = 0.89), while others were strongly significant. Across the motifs (S1, S2, S4, S5), most parametric and smooth effects were significant (p &lt; 0.05), though a few, such as the intercepts of S1 and S5were non-significant. Overall, these results indicate model- and metric-specific variation in both baseline (parametric) and temporal (smooth) effects, highlighting the importance of model structure in influences the observed temporal trends.</w:t>
      </w:r>
    </w:p>
    <w:bookmarkEnd w:id="52"/>
    <w:bookmarkStart w:id="54" w:name="inferred-extinction-drivers"/>
    <w:p>
      <w:pPr>
        <w:pStyle w:val="Heading3"/>
      </w:pPr>
      <w:r>
        <w:t xml:space="preserve">3.4.2 Inferred extinction drivers</w:t>
      </w:r>
    </w:p>
    <w:p>
      <w:pPr>
        <w:pStyle w:val="FirstParagraph"/>
      </w:pPr>
      <w:r>
        <w:t xml:space="preserve">In order to determine which extinction mechanism creates a network most similar to the post extinction network we use a derivative of</w:t>
      </w:r>
      <w:r>
        <w:t xml:space="preserve"> </w:t>
      </w:r>
      <w:r>
        <w:t xml:space="preserve">[32]</w:t>
      </w:r>
      <w:r>
        <w:t xml:space="preserve"> </w:t>
      </w:r>
      <w:r>
        <w:t xml:space="preserve">true skill statistic (TSS, see</w:t>
      </w:r>
      <w:r>
        <w:t xml:space="preserve"> </w:t>
      </w:r>
      <w:hyperlink w:anchor="eq-1">
        <w:r>
          <w:rPr>
            <w:rStyle w:val="Hyperlink"/>
          </w:rPr>
          <w:t xml:space="preserve">Equation 1</w:t>
        </w:r>
      </w:hyperlink>
      <w:r>
        <w:t xml:space="preserve">), where a score below zero indicates that the model performs as well as a random model and a score of one indicates a perfect match between real and simulated. Here we calculated both a node-level TSS as well as link-level TSS, by parsing out the TSS into two components we are able to assess if differences between real and simulated networks are due to node-level (the wrong species being removed) or link-level (the wrong links be recovered) mismatches. Because the extinction simulations do not allow for the origination of species, we only retained species that were present in both the pre and post extinciton community and so any node-level mismatches between real and simulated networks was due to the wrong species being removed and not because new species were not.</w:t>
      </w:r>
    </w:p>
    <w:p>
      <w:pPr>
        <w:pStyle w:val="BodyText"/>
      </w:pPr>
      <w:bookmarkStart w:id="53" w:name="eq-1"/>
      <m:oMathPara>
        <m:oMathParaPr>
          <m:jc m:val="center"/>
        </m:oMathParaPr>
        <m:oMath>
          <m:r>
            <m:t>T</m:t>
          </m:r>
          <m:r>
            <m:t>S</m:t>
          </m:r>
          <m:r>
            <m:t>S</m:t>
          </m:r>
          <m:r>
            <m:rPr>
              <m:sty m:val="p"/>
            </m:rPr>
            <m:t>=</m:t>
          </m:r>
          <m:f>
            <m:fPr>
              <m:type m:val="bar"/>
            </m:fPr>
            <m:num>
              <m:r>
                <m:t>T</m:t>
              </m:r>
              <m:r>
                <m:t>r</m:t>
              </m:r>
              <m:r>
                <m:t>u</m:t>
              </m:r>
              <m:r>
                <m:t>e</m:t>
              </m:r>
              <m:r>
                <m:t>P</m:t>
              </m:r>
              <m:r>
                <m:t>o</m:t>
              </m:r>
              <m:r>
                <m:t>s</m:t>
              </m:r>
              <m:r>
                <m:t>i</m:t>
              </m:r>
              <m:r>
                <m:t>t</m:t>
              </m:r>
              <m:r>
                <m:t>i</m:t>
              </m:r>
              <m:r>
                <m:t>v</m:t>
              </m:r>
              <m:r>
                <m:t>e</m:t>
              </m:r>
            </m:num>
            <m:den>
              <m:r>
                <m:t>T</m:t>
              </m:r>
              <m:r>
                <m:t>r</m:t>
              </m:r>
              <m:r>
                <m:t>u</m:t>
              </m:r>
              <m:r>
                <m:t>e</m:t>
              </m:r>
              <m:r>
                <m:t>P</m:t>
              </m:r>
              <m:r>
                <m:t>o</m:t>
              </m:r>
              <m:r>
                <m:t>s</m:t>
              </m:r>
              <m:r>
                <m:t>i</m:t>
              </m:r>
              <m:r>
                <m:t>t</m:t>
              </m:r>
              <m:r>
                <m:t>i</m:t>
              </m:r>
              <m:r>
                <m:t>v</m:t>
              </m:r>
              <m:r>
                <m:t>e</m:t>
              </m:r>
              <m:r>
                <m:rPr>
                  <m:sty m:val="p"/>
                </m:rPr>
                <m:t>+</m:t>
              </m:r>
              <m:r>
                <m:t>F</m:t>
              </m:r>
              <m:r>
                <m:t>a</m:t>
              </m:r>
              <m:r>
                <m:t>l</m:t>
              </m:r>
              <m:r>
                <m:t>s</m:t>
              </m:r>
              <m:r>
                <m:t>e</m:t>
              </m:r>
              <m:r>
                <m:t>N</m:t>
              </m:r>
              <m:r>
                <m:t>e</m:t>
              </m:r>
              <m:r>
                <m:t>g</m:t>
              </m:r>
              <m:r>
                <m:t>a</m:t>
              </m:r>
              <m:r>
                <m:t>t</m:t>
              </m:r>
              <m:r>
                <m:t>i</m:t>
              </m:r>
              <m:r>
                <m:t>v</m:t>
              </m:r>
              <m:r>
                <m:t>e</m:t>
              </m:r>
            </m:den>
          </m:f>
          <m:r>
            <m:rPr>
              <m:sty m:val="p"/>
            </m:rPr>
            <m:t>+</m:t>
          </m:r>
          <m:f>
            <m:fPr>
              <m:type m:val="bar"/>
            </m:fPr>
            <m:num>
              <m:r>
                <m:t>T</m:t>
              </m:r>
              <m:r>
                <m:t>r</m:t>
              </m:r>
              <m:r>
                <m:t>u</m:t>
              </m:r>
              <m:r>
                <m:t>e</m:t>
              </m:r>
              <m:r>
                <m:t>N</m:t>
              </m:r>
              <m:r>
                <m:t>e</m:t>
              </m:r>
              <m:r>
                <m:t>g</m:t>
              </m:r>
              <m:r>
                <m:t>a</m:t>
              </m:r>
              <m:r>
                <m:t>t</m:t>
              </m:r>
              <m:r>
                <m:t>i</m:t>
              </m:r>
              <m:r>
                <m:t>v</m:t>
              </m:r>
              <m:r>
                <m:t>e</m:t>
              </m:r>
            </m:num>
            <m:den>
              <m:r>
                <m:t>T</m:t>
              </m:r>
              <m:r>
                <m:t>r</m:t>
              </m:r>
              <m:r>
                <m:t>u</m:t>
              </m:r>
              <m:r>
                <m:t>e</m:t>
              </m:r>
              <m:r>
                <m:t>N</m:t>
              </m:r>
              <m:r>
                <m:t>e</m:t>
              </m:r>
              <m:r>
                <m:t>g</m:t>
              </m:r>
              <m:r>
                <m:t>a</m:t>
              </m:r>
              <m:r>
                <m:t>t</m:t>
              </m:r>
              <m:r>
                <m:t>i</m:t>
              </m:r>
              <m:r>
                <m:t>v</m:t>
              </m:r>
              <m:r>
                <m:t>e</m:t>
              </m:r>
              <m:r>
                <m:rPr>
                  <m:sty m:val="p"/>
                </m:rPr>
                <m:t>+</m:t>
              </m:r>
              <m:r>
                <m:t>F</m:t>
              </m:r>
              <m:r>
                <m:t>a</m:t>
              </m:r>
              <m:r>
                <m:t>l</m:t>
              </m:r>
              <m:r>
                <m:t>s</m:t>
              </m:r>
              <m:r>
                <m:t>e</m:t>
              </m:r>
              <m:r>
                <m:t>P</m:t>
              </m:r>
              <m:r>
                <m:t>o</m:t>
              </m:r>
              <m:r>
                <m:t>s</m:t>
              </m:r>
              <m:r>
                <m:t>i</m:t>
              </m:r>
              <m:r>
                <m:t>t</m:t>
              </m:r>
              <m:r>
                <m:t>i</m:t>
              </m:r>
              <m:r>
                <m:t>v</m:t>
              </m:r>
              <m:r>
                <m:t>e</m:t>
              </m:r>
            </m:den>
          </m:f>
          <m:r>
            <m:rPr>
              <m:sty m:val="p"/>
            </m:rPr>
            <m:t>−</m:t>
          </m:r>
          <m:r>
            <m:t>1</m:t>
          </m:r>
          <m:r>
            <m:t>  </m:t>
          </m:r>
          <m:d>
            <m:dPr>
              <m:begChr m:val="("/>
              <m:sepChr m:val=""/>
              <m:endChr m:val=")"/>
              <m:grow/>
            </m:dPr>
            <m:e>
              <m:r>
                <m:t>1</m:t>
              </m:r>
            </m:e>
          </m:d>
        </m:oMath>
      </m:oMathPara>
      <w:bookmarkEnd w:id="53"/>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p>
    <w:bookmarkEnd w:id="54"/>
    <w:bookmarkEnd w:id="55"/>
    <w:bookmarkEnd w:id="56"/>
    <w:bookmarkStart w:id="61"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6</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60" w:name="fig-guidelines"/>
          <w:p>
            <w:pPr>
              <w:pStyle w:val="Compact"/>
              <w:jc w:val="center"/>
            </w:pPr>
            <w:r>
              <w:drawing>
                <wp:inline>
                  <wp:extent cx="5334000" cy="7112000"/>
                  <wp:effectExtent b="0" l="0" r="0" t="0"/>
                  <wp:docPr descr="" title="" id="58" name="Picture"/>
                  <a:graphic>
                    <a:graphicData uri="http://schemas.openxmlformats.org/drawingml/2006/picture">
                      <pic:pic>
                        <pic:nvPicPr>
                          <pic:cNvPr descr="figures/guidelines.png" id="59" name="Picture"/>
                          <pic:cNvPicPr>
                            <a:picLocks noChangeArrowheads="1" noChangeAspect="1"/>
                          </pic:cNvPicPr>
                        </pic:nvPicPr>
                        <pic:blipFill>
                          <a:blip r:embed="rId57"/>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TODO.</w:t>
            </w:r>
          </w:p>
          <w:bookmarkEnd w:id="60"/>
        </w:tc>
      </w:tr>
    </w:tbl>
    <w:bookmarkEnd w:id="61"/>
    <w:bookmarkStart w:id="126" w:name="references"/>
    <w:p>
      <w:pPr>
        <w:pStyle w:val="Heading1"/>
      </w:pPr>
      <w:r>
        <w:t xml:space="preserve">References</w:t>
      </w:r>
    </w:p>
    <w:bookmarkStart w:id="125" w:name="refs"/>
    <w:bookmarkStart w:id="63"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62">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63"/>
    <w:bookmarkStart w:id="65"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4">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5"/>
    <w:bookmarkStart w:id="67"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66">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67"/>
    <w:bookmarkStart w:id="69"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8">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9"/>
    <w:bookmarkStart w:id="71"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70">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71"/>
    <w:bookmarkStart w:id="73"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2">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3"/>
    <w:bookmarkStart w:id="75" w:name="ref-jordano2016"/>
    <w:p>
      <w:pPr>
        <w:pStyle w:val="Bibliography"/>
      </w:pPr>
      <w:r>
        <w:t xml:space="preserve">7.</w:t>
      </w:r>
      <w:r>
        <w:t xml:space="preserve"> </w:t>
      </w:r>
      <w:r>
        <w:t xml:space="preserve">	</w:t>
      </w:r>
      <w:r>
        <w:t xml:space="preserve">Jordano, P. (2016)</w:t>
      </w:r>
      <w:r>
        <w:t xml:space="preserve"> </w:t>
      </w:r>
      <w:hyperlink r:id="rId74">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5"/>
    <w:bookmarkStart w:id="77"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6">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7"/>
    <w:bookmarkStart w:id="79" w:name="ref-pichler2023"/>
    <w:p>
      <w:pPr>
        <w:pStyle w:val="Bibliography"/>
      </w:pPr>
      <w:r>
        <w:t xml:space="preserve">9.</w:t>
      </w:r>
      <w:r>
        <w:t xml:space="preserve"> </w:t>
      </w:r>
      <w:r>
        <w:t xml:space="preserve">	</w:t>
      </w:r>
      <w:r>
        <w:t xml:space="preserve">Pichler, M. and Hartig, F. (2023)</w:t>
      </w:r>
      <w:r>
        <w:t xml:space="preserve"> </w:t>
      </w:r>
      <w:hyperlink r:id="rId78">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9"/>
    <w:bookmarkStart w:id="81"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0">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1"/>
    <w:bookmarkStart w:id="83"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2">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3"/>
    <w:bookmarkStart w:id="85"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84">
        <w:r>
          <w:rPr>
            <w:rStyle w:val="Hyperlink"/>
          </w:rPr>
          <w:t xml:space="preserve">A framework for reconstructing ancient food webs using functional trait data</w:t>
        </w:r>
      </w:hyperlink>
      <w:r>
        <w:t xml:space="preserve">bioRxiv, 2024.01.30.578036</w:t>
      </w:r>
    </w:p>
    <w:bookmarkEnd w:id="85"/>
    <w:bookmarkStart w:id="87" w:name="ref-roopnarine2006"/>
    <w:p>
      <w:pPr>
        <w:pStyle w:val="Bibliography"/>
      </w:pPr>
      <w:r>
        <w:t xml:space="preserve">13.</w:t>
      </w:r>
      <w:r>
        <w:t xml:space="preserve"> </w:t>
      </w:r>
      <w:r>
        <w:t xml:space="preserve">	</w:t>
      </w:r>
      <w:r>
        <w:t xml:space="preserve">Roopnarine, P.D. (2006)</w:t>
      </w:r>
      <w:r>
        <w:t xml:space="preserve"> </w:t>
      </w:r>
      <w:hyperlink r:id="rId86">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7"/>
    <w:bookmarkStart w:id="89"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8">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9"/>
    <w:bookmarkStart w:id="91"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90">
        <w:r>
          <w:rPr>
            <w:rStyle w:val="Hyperlink"/>
          </w:rPr>
          <w:t xml:space="preserve">10.1038/s44358-025-00056-7</w:t>
        </w:r>
      </w:hyperlink>
    </w:p>
    <w:bookmarkEnd w:id="91"/>
    <w:bookmarkStart w:id="93"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92">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93"/>
    <w:bookmarkStart w:id="95" w:name="ref-erdos1959"/>
    <w:p>
      <w:pPr>
        <w:pStyle w:val="Bibliography"/>
      </w:pPr>
      <w:r>
        <w:t xml:space="preserve">17.</w:t>
      </w:r>
      <w:r>
        <w:t xml:space="preserve"> </w:t>
      </w:r>
      <w:r>
        <w:t xml:space="preserve">	</w:t>
      </w:r>
      <w:r>
        <w:t xml:space="preserve">Erdős, P. and Rényi, A. (1959)</w:t>
      </w:r>
      <w:r>
        <w:t xml:space="preserve"> </w:t>
      </w:r>
      <w:hyperlink r:id="rId94">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5"/>
    <w:bookmarkStart w:id="97" w:name="ref-williams2008"/>
    <w:p>
      <w:pPr>
        <w:pStyle w:val="Bibliography"/>
      </w:pPr>
      <w:r>
        <w:t xml:space="preserve">18.</w:t>
      </w:r>
      <w:r>
        <w:t xml:space="preserve"> </w:t>
      </w:r>
      <w:r>
        <w:t xml:space="preserve">	</w:t>
      </w:r>
      <w:r>
        <w:t xml:space="preserve">Williams, R.J. and Martinez, N.D. (2008)</w:t>
      </w:r>
      <w:r>
        <w:t xml:space="preserve"> </w:t>
      </w:r>
      <w:hyperlink r:id="rId9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7"/>
    <w:bookmarkStart w:id="99" w:name="ref-petchey2008"/>
    <w:p>
      <w:pPr>
        <w:pStyle w:val="Bibliography"/>
      </w:pPr>
      <w:r>
        <w:t xml:space="preserve">19.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8">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9"/>
    <w:bookmarkStart w:id="101" w:name="ref-schneider2016"/>
    <w:p>
      <w:pPr>
        <w:pStyle w:val="Bibliography"/>
      </w:pPr>
      <w:r>
        <w:t xml:space="preserve">20.</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0">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1"/>
    <w:bookmarkStart w:id="103" w:name="ref-rohr2010"/>
    <w:p>
      <w:pPr>
        <w:pStyle w:val="Bibliography"/>
      </w:pPr>
      <w:r>
        <w:t xml:space="preserve">21.</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2">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3"/>
    <w:bookmarkStart w:id="105" w:name="ref-bambach2007"/>
    <w:p>
      <w:pPr>
        <w:pStyle w:val="Bibliography"/>
      </w:pPr>
      <w:r>
        <w:t xml:space="preserve">22.</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4">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5"/>
    <w:bookmarkStart w:id="107" w:name="ref-milo2002"/>
    <w:p>
      <w:pPr>
        <w:pStyle w:val="Bibliography"/>
      </w:pPr>
      <w:r>
        <w:t xml:space="preserve">23.</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6">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7"/>
    <w:bookmarkStart w:id="109" w:name="ref-stouffer2007"/>
    <w:p>
      <w:pPr>
        <w:pStyle w:val="Bibliography"/>
      </w:pPr>
      <w:r>
        <w:t xml:space="preserve">24.</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8">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9"/>
    <w:bookmarkStart w:id="111" w:name="ref-williams2004"/>
    <w:p>
      <w:pPr>
        <w:pStyle w:val="Bibliography"/>
      </w:pPr>
      <w:r>
        <w:t xml:space="preserve">25.</w:t>
      </w:r>
      <w:r>
        <w:t xml:space="preserve"> </w:t>
      </w:r>
      <w:r>
        <w:t xml:space="preserve">	</w:t>
      </w:r>
      <w:r>
        <w:t xml:space="preserve">Williams, R.J. and Martinez, N.D. (2004)</w:t>
      </w:r>
      <w:r>
        <w:t xml:space="preserve"> </w:t>
      </w:r>
      <w:hyperlink r:id="rId110">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1"/>
    <w:bookmarkStart w:id="113"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12">
        <w:r>
          <w:rPr>
            <w:rStyle w:val="Hyperlink"/>
          </w:rPr>
          <w:t xml:space="preserve">10.1111/brv.12433</w:t>
        </w:r>
      </w:hyperlink>
    </w:p>
    <w:bookmarkEnd w:id="113"/>
    <w:bookmarkStart w:id="115" w:name="ref-williams2000"/>
    <w:p>
      <w:pPr>
        <w:pStyle w:val="Bibliography"/>
      </w:pPr>
      <w:r>
        <w:t xml:space="preserve">27.</w:t>
      </w:r>
      <w:r>
        <w:t xml:space="preserve"> </w:t>
      </w:r>
      <w:r>
        <w:t xml:space="preserve">	</w:t>
      </w:r>
      <w:r>
        <w:t xml:space="preserve">Williams, R.J. and Martinez, N.D. (2000)</w:t>
      </w:r>
      <w:r>
        <w:t xml:space="preserve"> </w:t>
      </w:r>
      <w:hyperlink r:id="rId11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5"/>
    <w:bookmarkStart w:id="116" w:name="ref-roopnarine2017"/>
    <w:p>
      <w:pPr>
        <w:pStyle w:val="Bibliography"/>
      </w:pPr>
      <w:r>
        <w:t xml:space="preserve">28.</w:t>
      </w:r>
      <w:r>
        <w:t xml:space="preserve"> </w:t>
      </w:r>
      <w:r>
        <w:t xml:space="preserve">	</w:t>
      </w:r>
      <w:r>
        <w:t xml:space="preserve">Roopnarine, P.D. (2017) Ecological Modelling of Paleocommunity Food Webspp. 201–226, University of Chicago Press</w:t>
      </w:r>
    </w:p>
    <w:bookmarkEnd w:id="116"/>
    <w:bookmarkStart w:id="118"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7">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8"/>
    <w:bookmarkStart w:id="120"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19">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0"/>
    <w:bookmarkStart w:id="122" w:name="ref-jonsson2015"/>
    <w:p>
      <w:pPr>
        <w:pStyle w:val="Bibliography"/>
      </w:pPr>
      <w:r>
        <w:t xml:space="preserve">31.</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21">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2"/>
    <w:bookmarkStart w:id="124" w:name="ref-gupta2022"/>
    <w:p>
      <w:pPr>
        <w:pStyle w:val="Bibliography"/>
      </w:pPr>
      <w:r>
        <w:t xml:space="preserve">32.</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3">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4"/>
    <w:bookmarkEnd w:id="125"/>
    <w:bookmarkEnd w:id="12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57" Target="media/rId57.png" /><Relationship Type="http://schemas.openxmlformats.org/officeDocument/2006/relationships/image" Id="rId34" Target="media/rId34.png" /><Relationship Type="http://schemas.openxmlformats.org/officeDocument/2006/relationships/image" Id="rId21" Target="media/rId21.png" /><Relationship Type="http://schemas.openxmlformats.org/officeDocument/2006/relationships/image" Id="rId48" Target="media/rId48.png" /><Relationship Type="http://schemas.openxmlformats.org/officeDocument/2006/relationships/hyperlink" Id="rId123" Target="https://doi.org/10.1002/ece3.8643" TargetMode="External" /><Relationship Type="http://schemas.openxmlformats.org/officeDocument/2006/relationships/hyperlink" Id="rId119" Target="https://doi.org/10.1016/j.baae.2011.09.008" TargetMode="External" /><Relationship Type="http://schemas.openxmlformats.org/officeDocument/2006/relationships/hyperlink" Id="rId76" Target="https://doi.org/10.1016/j.tree.2015.03.014" TargetMode="External" /><Relationship Type="http://schemas.openxmlformats.org/officeDocument/2006/relationships/hyperlink" Id="rId114" Target="https://doi.org/10.1038/35004572" TargetMode="External" /><Relationship Type="http://schemas.openxmlformats.org/officeDocument/2006/relationships/hyperlink" Id="rId100" Target="https://doi.org/10.1038/ncomms12718" TargetMode="External" /><Relationship Type="http://schemas.openxmlformats.org/officeDocument/2006/relationships/hyperlink" Id="rId68" Target="https://doi.org/10.1038/s41467-024-53000-2" TargetMode="External" /><Relationship Type="http://schemas.openxmlformats.org/officeDocument/2006/relationships/hyperlink" Id="rId90" Target="https://doi.org/10.1038/s44358-025-00056-7" TargetMode="External" /><Relationship Type="http://schemas.openxmlformats.org/officeDocument/2006/relationships/hyperlink" Id="rId98" Target="https://doi.org/10.1073/pnas.0710672105" TargetMode="External" /><Relationship Type="http://schemas.openxmlformats.org/officeDocument/2006/relationships/hyperlink" Id="rId72" Target="https://doi.org/10.1073/pnas.1408471111" TargetMode="External" /><Relationship Type="http://schemas.openxmlformats.org/officeDocument/2006/relationships/hyperlink" Id="rId102" Target="https://doi.org/10.1086/653667" TargetMode="External" /><Relationship Type="http://schemas.openxmlformats.org/officeDocument/2006/relationships/hyperlink" Id="rId108" Target="https://doi.org/10.1098/rspb.2007.0571" TargetMode="External" /><Relationship Type="http://schemas.openxmlformats.org/officeDocument/2006/relationships/hyperlink" Id="rId92" Target="https://doi.org/10.1098/rspb.2013.3280" TargetMode="External" /><Relationship Type="http://schemas.openxmlformats.org/officeDocument/2006/relationships/hyperlink" Id="rId62" Target="https://doi.org/10.1098/rstb.2019.0222" TargetMode="External" /><Relationship Type="http://schemas.openxmlformats.org/officeDocument/2006/relationships/hyperlink" Id="rId80" Target="https://doi.org/10.1098/rstb.2021.0063" TargetMode="External" /><Relationship Type="http://schemas.openxmlformats.org/officeDocument/2006/relationships/hyperlink" Id="rId84" Target="https://doi.org/10.1101/2024.01.30.578036" TargetMode="External" /><Relationship Type="http://schemas.openxmlformats.org/officeDocument/2006/relationships/hyperlink" Id="rId78" Target="https://doi.org/10.1111/2041-210X.14061" TargetMode="External" /><Relationship Type="http://schemas.openxmlformats.org/officeDocument/2006/relationships/hyperlink" Id="rId112" Target="https://doi.org/10.1111/brv.12433" TargetMode="External" /><Relationship Type="http://schemas.openxmlformats.org/officeDocument/2006/relationships/hyperlink" Id="rId70" Target="https://doi.org/10.1111/gcb.70061" TargetMode="External" /><Relationship Type="http://schemas.openxmlformats.org/officeDocument/2006/relationships/hyperlink" Id="rId96" Target="https://doi.org/10.1111/j.1365-2656.2008.01362.x" TargetMode="External" /><Relationship Type="http://schemas.openxmlformats.org/officeDocument/2006/relationships/hyperlink" Id="rId104" Target="https://doi.org/10.1111/j.1475-4983.2006.00611.x" TargetMode="External" /><Relationship Type="http://schemas.openxmlformats.org/officeDocument/2006/relationships/hyperlink" Id="rId117" Target="https://doi.org/10.1111/j.2041-210x.2011.00174.x" TargetMode="External" /><Relationship Type="http://schemas.openxmlformats.org/officeDocument/2006/relationships/hyperlink" Id="rId66" Target="https://doi.org/10.1111/jbi.14734" TargetMode="External" /><Relationship Type="http://schemas.openxmlformats.org/officeDocument/2006/relationships/hyperlink" Id="rId121" Target="https://doi.org/10.1111/oik.01588" TargetMode="External" /><Relationship Type="http://schemas.openxmlformats.org/officeDocument/2006/relationships/hyperlink" Id="rId82" Target="https://doi.org/10.1126/science.1156269" TargetMode="External" /><Relationship Type="http://schemas.openxmlformats.org/officeDocument/2006/relationships/hyperlink" Id="rId106" Target="https://doi.org/10.1126/science.298.5594.824" TargetMode="External" /><Relationship Type="http://schemas.openxmlformats.org/officeDocument/2006/relationships/hyperlink" Id="rId88" Target="https://doi.org/10.1126/science.abn4012" TargetMode="External" /><Relationship Type="http://schemas.openxmlformats.org/officeDocument/2006/relationships/hyperlink" Id="rId110" Target="https://doi.org/10.1140/epjb/e2004-00122-1" TargetMode="External" /><Relationship Type="http://schemas.openxmlformats.org/officeDocument/2006/relationships/hyperlink" Id="rId74" Target="https://doi.org/10.1371/journal.pbio.1002559" TargetMode="External" /><Relationship Type="http://schemas.openxmlformats.org/officeDocument/2006/relationships/hyperlink" Id="rId64" Target="https://doi.org/10.3389/fevo.2022.1031483" TargetMode="External" /><Relationship Type="http://schemas.openxmlformats.org/officeDocument/2006/relationships/hyperlink" Id="rId94" Target="https://doi.org/10.5486/pmd.1959.6.3-4.12" TargetMode="External" /><Relationship Type="http://schemas.openxmlformats.org/officeDocument/2006/relationships/hyperlink" Id="rId86"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23" Target="https://doi.org/10.1002/ece3.8643" TargetMode="External" /><Relationship Type="http://schemas.openxmlformats.org/officeDocument/2006/relationships/hyperlink" Id="rId119" Target="https://doi.org/10.1016/j.baae.2011.09.008" TargetMode="External" /><Relationship Type="http://schemas.openxmlformats.org/officeDocument/2006/relationships/hyperlink" Id="rId76" Target="https://doi.org/10.1016/j.tree.2015.03.014" TargetMode="External" /><Relationship Type="http://schemas.openxmlformats.org/officeDocument/2006/relationships/hyperlink" Id="rId114" Target="https://doi.org/10.1038/35004572" TargetMode="External" /><Relationship Type="http://schemas.openxmlformats.org/officeDocument/2006/relationships/hyperlink" Id="rId100" Target="https://doi.org/10.1038/ncomms12718" TargetMode="External" /><Relationship Type="http://schemas.openxmlformats.org/officeDocument/2006/relationships/hyperlink" Id="rId68" Target="https://doi.org/10.1038/s41467-024-53000-2" TargetMode="External" /><Relationship Type="http://schemas.openxmlformats.org/officeDocument/2006/relationships/hyperlink" Id="rId90" Target="https://doi.org/10.1038/s44358-025-00056-7" TargetMode="External" /><Relationship Type="http://schemas.openxmlformats.org/officeDocument/2006/relationships/hyperlink" Id="rId98" Target="https://doi.org/10.1073/pnas.0710672105" TargetMode="External" /><Relationship Type="http://schemas.openxmlformats.org/officeDocument/2006/relationships/hyperlink" Id="rId72" Target="https://doi.org/10.1073/pnas.1408471111" TargetMode="External" /><Relationship Type="http://schemas.openxmlformats.org/officeDocument/2006/relationships/hyperlink" Id="rId102" Target="https://doi.org/10.1086/653667" TargetMode="External" /><Relationship Type="http://schemas.openxmlformats.org/officeDocument/2006/relationships/hyperlink" Id="rId108" Target="https://doi.org/10.1098/rspb.2007.0571" TargetMode="External" /><Relationship Type="http://schemas.openxmlformats.org/officeDocument/2006/relationships/hyperlink" Id="rId92" Target="https://doi.org/10.1098/rspb.2013.3280" TargetMode="External" /><Relationship Type="http://schemas.openxmlformats.org/officeDocument/2006/relationships/hyperlink" Id="rId62" Target="https://doi.org/10.1098/rstb.2019.0222" TargetMode="External" /><Relationship Type="http://schemas.openxmlformats.org/officeDocument/2006/relationships/hyperlink" Id="rId80" Target="https://doi.org/10.1098/rstb.2021.0063" TargetMode="External" /><Relationship Type="http://schemas.openxmlformats.org/officeDocument/2006/relationships/hyperlink" Id="rId84" Target="https://doi.org/10.1101/2024.01.30.578036" TargetMode="External" /><Relationship Type="http://schemas.openxmlformats.org/officeDocument/2006/relationships/hyperlink" Id="rId78" Target="https://doi.org/10.1111/2041-210X.14061" TargetMode="External" /><Relationship Type="http://schemas.openxmlformats.org/officeDocument/2006/relationships/hyperlink" Id="rId112" Target="https://doi.org/10.1111/brv.12433" TargetMode="External" /><Relationship Type="http://schemas.openxmlformats.org/officeDocument/2006/relationships/hyperlink" Id="rId70" Target="https://doi.org/10.1111/gcb.70061" TargetMode="External" /><Relationship Type="http://schemas.openxmlformats.org/officeDocument/2006/relationships/hyperlink" Id="rId96" Target="https://doi.org/10.1111/j.1365-2656.2008.01362.x" TargetMode="External" /><Relationship Type="http://schemas.openxmlformats.org/officeDocument/2006/relationships/hyperlink" Id="rId104" Target="https://doi.org/10.1111/j.1475-4983.2006.00611.x" TargetMode="External" /><Relationship Type="http://schemas.openxmlformats.org/officeDocument/2006/relationships/hyperlink" Id="rId117" Target="https://doi.org/10.1111/j.2041-210x.2011.00174.x" TargetMode="External" /><Relationship Type="http://schemas.openxmlformats.org/officeDocument/2006/relationships/hyperlink" Id="rId66" Target="https://doi.org/10.1111/jbi.14734" TargetMode="External" /><Relationship Type="http://schemas.openxmlformats.org/officeDocument/2006/relationships/hyperlink" Id="rId121" Target="https://doi.org/10.1111/oik.01588" TargetMode="External" /><Relationship Type="http://schemas.openxmlformats.org/officeDocument/2006/relationships/hyperlink" Id="rId82" Target="https://doi.org/10.1126/science.1156269" TargetMode="External" /><Relationship Type="http://schemas.openxmlformats.org/officeDocument/2006/relationships/hyperlink" Id="rId106" Target="https://doi.org/10.1126/science.298.5594.824" TargetMode="External" /><Relationship Type="http://schemas.openxmlformats.org/officeDocument/2006/relationships/hyperlink" Id="rId88" Target="https://doi.org/10.1126/science.abn4012" TargetMode="External" /><Relationship Type="http://schemas.openxmlformats.org/officeDocument/2006/relationships/hyperlink" Id="rId110" Target="https://doi.org/10.1140/epjb/e2004-00122-1" TargetMode="External" /><Relationship Type="http://schemas.openxmlformats.org/officeDocument/2006/relationships/hyperlink" Id="rId74" Target="https://doi.org/10.1371/journal.pbio.1002559" TargetMode="External" /><Relationship Type="http://schemas.openxmlformats.org/officeDocument/2006/relationships/hyperlink" Id="rId64" Target="https://doi.org/10.3389/fevo.2022.1031483" TargetMode="External" /><Relationship Type="http://schemas.openxmlformats.org/officeDocument/2006/relationships/hyperlink" Id="rId94" Target="https://doi.org/10.5486/pmd.1959.6.3-4.12" TargetMode="External" /><Relationship Type="http://schemas.openxmlformats.org/officeDocument/2006/relationships/hyperlink" Id="rId86"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2025-11-18T15:33:35Z</dcterms:created>
  <dcterms:modified xsi:type="dcterms:W3CDTF">2025-11-18T15:33:35Z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2025-11-18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